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709" w:rsidRPr="00627709" w:rsidRDefault="00627709" w:rsidP="00627709"/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1891"/>
        <w:gridCol w:w="1653"/>
        <w:gridCol w:w="4649"/>
        <w:gridCol w:w="2693"/>
        <w:gridCol w:w="3402"/>
      </w:tblGrid>
      <w:tr w:rsidR="00627709" w:rsidRPr="00627709" w:rsidTr="00D55A23">
        <w:trPr>
          <w:trHeight w:val="297"/>
        </w:trPr>
        <w:tc>
          <w:tcPr>
            <w:tcW w:w="1144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sz w:val="28"/>
              </w:rPr>
              <w:t xml:space="preserve">SEZIONE A: </w:t>
            </w:r>
            <w:r w:rsidRPr="00627709">
              <w:rPr>
                <w:b/>
                <w:sz w:val="28"/>
              </w:rPr>
              <w:t>TRAGUARDI FORMATIVI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Scuola Sec. II grado</w:t>
            </w:r>
          </w:p>
        </w:tc>
      </w:tr>
      <w:tr w:rsidR="00627709" w:rsidRPr="00627709" w:rsidTr="00D55A23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Disciplina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709" w:rsidRPr="00627709" w:rsidRDefault="00627709" w:rsidP="00627709">
            <w:pPr>
              <w:rPr>
                <w:sz w:val="28"/>
              </w:rPr>
            </w:pPr>
            <w:r w:rsidRPr="00627709">
              <w:rPr>
                <w:rFonts w:ascii="Arial" w:eastAsia="Arial" w:hAnsi="Arial" w:cs="Arial"/>
                <w:b/>
                <w:sz w:val="24"/>
                <w:szCs w:val="24"/>
              </w:rPr>
              <w:t>MATEMATICA</w:t>
            </w:r>
          </w:p>
        </w:tc>
      </w:tr>
      <w:tr w:rsidR="00627709" w:rsidRPr="00627709" w:rsidTr="00D55A23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27709" w:rsidRPr="00627709" w:rsidRDefault="00627709" w:rsidP="00627709">
            <w:pPr>
              <w:rPr>
                <w:rFonts w:ascii="Calibri" w:eastAsia="Calibri" w:hAnsi="Calibri" w:cs="Times New Roman"/>
                <w:b/>
                <w:color w:val="FF0000"/>
              </w:rPr>
            </w:pPr>
            <w:r w:rsidRPr="00627709">
              <w:rPr>
                <w:rFonts w:ascii="Calibri" w:hAnsi="Calibri"/>
                <w:b/>
                <w:i/>
                <w:color w:val="FF0000"/>
              </w:rPr>
              <w:t>Competenza matematica: imparare ad imparare, progettare e risolvere problemi, individuare collegamenti e relazioni, acquisire ed interpretare le informazioni, collaborare e partecipare, agire in modo autonomo e responsabile</w:t>
            </w:r>
          </w:p>
          <w:p w:rsidR="00627709" w:rsidRPr="00627709" w:rsidRDefault="00627709" w:rsidP="00627709">
            <w:pPr>
              <w:rPr>
                <w:sz w:val="28"/>
              </w:rPr>
            </w:pPr>
          </w:p>
        </w:tc>
      </w:tr>
      <w:tr w:rsidR="00627709" w:rsidRPr="00627709" w:rsidTr="00D55A23">
        <w:trPr>
          <w:trHeight w:val="310"/>
        </w:trPr>
        <w:tc>
          <w:tcPr>
            <w:tcW w:w="1485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2° biennio</w:t>
            </w:r>
          </w:p>
        </w:tc>
      </w:tr>
      <w:tr w:rsidR="00627709" w:rsidRPr="00627709" w:rsidTr="00D55A23">
        <w:trPr>
          <w:trHeight w:val="310"/>
        </w:trPr>
        <w:tc>
          <w:tcPr>
            <w:tcW w:w="245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Competenze specifiche</w:t>
            </w:r>
          </w:p>
        </w:tc>
        <w:tc>
          <w:tcPr>
            <w:tcW w:w="6302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Conoscenze</w:t>
            </w: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Abilità</w:t>
            </w:r>
          </w:p>
        </w:tc>
      </w:tr>
      <w:tr w:rsidR="00627709" w:rsidRPr="00627709" w:rsidTr="00D55A23">
        <w:trPr>
          <w:trHeight w:val="1701"/>
        </w:trPr>
        <w:tc>
          <w:tcPr>
            <w:tcW w:w="2453" w:type="dxa"/>
            <w:gridSpan w:val="2"/>
            <w:tcBorders>
              <w:top w:val="single" w:sz="4" w:space="0" w:color="auto"/>
            </w:tcBorders>
          </w:tcPr>
          <w:p w:rsidR="00627709" w:rsidRPr="00627709" w:rsidRDefault="00627709" w:rsidP="00627709"/>
          <w:p w:rsidR="00627709" w:rsidRPr="00627709" w:rsidRDefault="00627709" w:rsidP="00627709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627709">
              <w:rPr>
                <w:rFonts w:ascii="Calibri" w:eastAsia="Times New Roman" w:hAnsi="Calibri" w:cs="Times New Roman"/>
                <w:b/>
                <w:bCs/>
                <w:lang w:eastAsia="it-IT"/>
              </w:rPr>
              <w:t>1 - Utilizzare le tecniche e le procedure del calcolo aritmetico ed algebrico, rappresentandole anche sotto forma grafica</w:t>
            </w:r>
            <w:r w:rsidRPr="00627709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.</w:t>
            </w:r>
          </w:p>
          <w:p w:rsidR="00627709" w:rsidRPr="00627709" w:rsidRDefault="00627709" w:rsidP="00627709"/>
          <w:p w:rsidR="00627709" w:rsidRPr="00627709" w:rsidRDefault="00627709" w:rsidP="00627709"/>
          <w:p w:rsidR="00627709" w:rsidRPr="00627709" w:rsidRDefault="00627709" w:rsidP="00627709"/>
          <w:p w:rsidR="00627709" w:rsidRPr="00627709" w:rsidRDefault="00627709" w:rsidP="00627709"/>
          <w:p w:rsidR="00627709" w:rsidRPr="00627709" w:rsidRDefault="00627709" w:rsidP="00627709"/>
        </w:tc>
        <w:tc>
          <w:tcPr>
            <w:tcW w:w="6302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Conoscere le caratteristiche degli insiemi numerici N, Z, Q, R, C e la loro rappresentazione grafica, l’evoluzione del concetto di numero e di problema delle soluzioni di una equazione algebrica.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Numeri algebrici e trascendenti. 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Introduzione al problema dell’infinito in matematica.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Riconoscere e classificare equazioni di vario tipo e casi particolari di equazioni polinomiali.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Conoscere le caratteristiche dei vettori e riconoscere la dipendenza lineare.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Risoluzione approssimata di equazioni.</w:t>
            </w:r>
          </w:p>
        </w:tc>
        <w:tc>
          <w:tcPr>
            <w:tcW w:w="6095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Analizzare e risolvere casi particolari di equazioni polinomiali.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Operare con i numeri reali.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Operare con i vettori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Rappresentare i numeri complessi e operare con essi.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Utilizzare i metodi di calcolo approssimato.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</w:p>
        </w:tc>
      </w:tr>
      <w:tr w:rsidR="00627709" w:rsidRPr="00627709" w:rsidTr="00D55A23">
        <w:trPr>
          <w:trHeight w:val="365"/>
        </w:trPr>
        <w:tc>
          <w:tcPr>
            <w:tcW w:w="2453" w:type="dxa"/>
            <w:gridSpan w:val="2"/>
          </w:tcPr>
          <w:p w:rsidR="00627709" w:rsidRPr="00627709" w:rsidRDefault="00627709" w:rsidP="00627709"/>
          <w:p w:rsidR="00627709" w:rsidRPr="00627709" w:rsidRDefault="00627709" w:rsidP="00627709">
            <w:pPr>
              <w:rPr>
                <w:rFonts w:ascii="Calibri" w:eastAsia="Calibri" w:hAnsi="Calibri" w:cs="Times New Roman"/>
                <w:b/>
                <w:bCs/>
              </w:rPr>
            </w:pPr>
            <w:r w:rsidRPr="00627709">
              <w:rPr>
                <w:rFonts w:ascii="Calibri" w:eastAsia="Calibri" w:hAnsi="Calibri" w:cs="Times New Roman"/>
                <w:b/>
                <w:bCs/>
              </w:rPr>
              <w:t xml:space="preserve">2 - Confrontare ed analizzare figure geometriche, individuando invarianti e relazioni. </w:t>
            </w:r>
          </w:p>
          <w:p w:rsidR="00627709" w:rsidRPr="00627709" w:rsidRDefault="00627709" w:rsidP="00627709"/>
          <w:p w:rsidR="00627709" w:rsidRPr="00627709" w:rsidRDefault="00627709" w:rsidP="00627709"/>
          <w:p w:rsidR="00627709" w:rsidRPr="00627709" w:rsidRDefault="00627709" w:rsidP="00627709"/>
          <w:p w:rsidR="00627709" w:rsidRPr="00627709" w:rsidRDefault="00627709" w:rsidP="00627709"/>
          <w:p w:rsidR="00627709" w:rsidRPr="00627709" w:rsidRDefault="00627709" w:rsidP="00627709"/>
        </w:tc>
        <w:tc>
          <w:tcPr>
            <w:tcW w:w="6302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lastRenderedPageBreak/>
              <w:t>Omotetie e similitudini. Rappresentazione analitica di trasformazioni geometriche nel piano.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Luoghi di punti e sezioni coniche: rappresentazioni analitiche.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Lunghezza della circonferenza e area del cerchio.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Il numero π. Misura degli angoli in radianti.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Seno coseno e tangente di un angolo: Proprietà fondamentali: coordinate polari. 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Rette e piani nello spazio; proprietà, equivalenza, aree e volumi dei solidi geometrici.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Coordinate cartesiane nello spazio.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lastRenderedPageBreak/>
              <w:t>Analizzare e risolvere problemi utilizzando le proprietà delle similitudini.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Realizzare costruzioni di luoghi geometrici utilizzando le proprietà geometriche.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Risolvere analiticamente problemi riguardanti rette, circonferenze e altre coniche.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Rappresentare analiticamente luoghi di punti: riconoscere dagli aspetti formali dell’equazione le proprietà geometriche del luogo e viceversa. 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Individuare e riconoscere relazione e proprietà delle figure nello spazio.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Calcolare aree e volumi di solidi.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lastRenderedPageBreak/>
              <w:t>Impiegare i principi, i metodi e le convenzioni proprie delle rappresentazioni grafiche ricorrendo anche all’uso delle tecnologie informatiche</w:t>
            </w:r>
          </w:p>
        </w:tc>
      </w:tr>
      <w:tr w:rsidR="00627709" w:rsidRPr="00627709" w:rsidTr="00D55A23">
        <w:trPr>
          <w:trHeight w:val="1701"/>
        </w:trPr>
        <w:tc>
          <w:tcPr>
            <w:tcW w:w="2453" w:type="dxa"/>
            <w:gridSpan w:val="2"/>
          </w:tcPr>
          <w:p w:rsidR="00627709" w:rsidRPr="00627709" w:rsidRDefault="00627709" w:rsidP="00627709">
            <w:pPr>
              <w:rPr>
                <w:rFonts w:ascii="Calibri" w:hAnsi="Calibri"/>
              </w:rPr>
            </w:pPr>
          </w:p>
          <w:p w:rsidR="00627709" w:rsidRPr="00627709" w:rsidRDefault="00627709" w:rsidP="00627709">
            <w:r w:rsidRPr="00627709">
              <w:rPr>
                <w:rFonts w:ascii="Calibri" w:hAnsi="Calibri"/>
                <w:b/>
              </w:rPr>
              <w:t>3 - Individuare strategie appropriate per la soluzione di problemi</w:t>
            </w:r>
          </w:p>
        </w:tc>
        <w:tc>
          <w:tcPr>
            <w:tcW w:w="6302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Formule fondamentali della geometria analitica e della trigonometria. Metodi risolutivi di problemi di geometria analitica e di trigonometria.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Metodo ipotetico-deduttivo: esempi.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Metodo di induzione (**)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Confrontare risoluzioni matematiche diverse di uno stesso problema (di geometria analitica o trigonometria). Riconoscere situazioni problematiche diverse riconducibili ad uno stesso modello matematico.</w:t>
            </w:r>
          </w:p>
        </w:tc>
      </w:tr>
      <w:tr w:rsidR="00627709" w:rsidRPr="00627709" w:rsidTr="00D55A23">
        <w:trPr>
          <w:trHeight w:val="1701"/>
        </w:trPr>
        <w:tc>
          <w:tcPr>
            <w:tcW w:w="2453" w:type="dxa"/>
            <w:gridSpan w:val="2"/>
          </w:tcPr>
          <w:p w:rsidR="00627709" w:rsidRPr="00627709" w:rsidRDefault="00627709" w:rsidP="00627709">
            <w:pPr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  <w:p w:rsidR="00627709" w:rsidRPr="00627709" w:rsidRDefault="00627709" w:rsidP="00627709">
            <w:r w:rsidRPr="00627709">
              <w:rPr>
                <w:rFonts w:ascii="Calibri" w:hAnsi="Calibri"/>
                <w:b/>
              </w:rPr>
              <w:t>4 - Analizzare dati e interpretarli sviluppando deduzioni e ragionamenti sugli stessi anche con l’ausilio di rappresentazioni grafiche, usando consapevolmente gli strumenti di calcolo e le potenzialità offerte da applicazioni specifiche di tipo informatico</w:t>
            </w:r>
          </w:p>
        </w:tc>
        <w:tc>
          <w:tcPr>
            <w:tcW w:w="6302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Relazioni e funzioni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Funzione inversa e funzione composta. 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Grafici di funzioni trasformate.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Risoluzione approssimata di equazioni e sistemi non lineari.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Funzione esponenziale, funzione logaritmica e modelli di fenomeni di crescita e decadimento.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Progressioni aritmetiche e geometriche. Funzioni seno, coseno e tangente; funzioni periodiche e modelli di fenomeni oscillatori.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Dati e previsioni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Concetto e significato di connessione, correlazione e regressione.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Elementi di calcolo combinatorio.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Le diverse concezioni di probabilità: classica</w:t>
            </w:r>
          </w:p>
        </w:tc>
        <w:tc>
          <w:tcPr>
            <w:tcW w:w="6095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Relazioni e funzioni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Utilizzare in casi semplici trasformazioni geometriche per costruire nuove funzioni e disegnare grafici, a partire da funzioni elementari.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Riconoscere crescenza, decrescenza, positività, massimi e minimi di una funzione.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Utilizzare metodi grafici o metodi di approssimazione per risolvere equazioni e disequazioni, operando anche con idonei applicativi informatici.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Dati e previsioni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Analisi di variabili statistiche e distribuzione di frequenze.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Rappresentazioni grafiche.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Classificare dati secondo due caratteri e</w:t>
            </w: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ind w:left="113" w:right="113"/>
              <w:jc w:val="center"/>
              <w:rPr>
                <w:sz w:val="18"/>
              </w:rPr>
            </w:pPr>
            <w:r w:rsidRPr="00627709">
              <w:rPr>
                <w:b/>
                <w:sz w:val="18"/>
              </w:rPr>
              <w:t>Orizzontalità</w:t>
            </w:r>
          </w:p>
          <w:p w:rsidR="00627709" w:rsidRPr="00627709" w:rsidRDefault="00627709" w:rsidP="00627709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5"/>
          </w:tcPr>
          <w:p w:rsidR="00627709" w:rsidRPr="00627709" w:rsidRDefault="00627709" w:rsidP="00627709">
            <w:pPr>
              <w:rPr>
                <w:b/>
              </w:rPr>
            </w:pPr>
          </w:p>
          <w:p w:rsidR="00627709" w:rsidRPr="00627709" w:rsidRDefault="00627709" w:rsidP="00627709">
            <w:pPr>
              <w:rPr>
                <w:b/>
              </w:rPr>
            </w:pPr>
          </w:p>
          <w:p w:rsidR="00627709" w:rsidRPr="00627709" w:rsidRDefault="00627709" w:rsidP="00627709">
            <w:r w:rsidRPr="00627709">
              <w:t xml:space="preserve">Si potrà interagire con enti pubblici </w:t>
            </w:r>
            <w:proofErr w:type="gramStart"/>
            <w:r w:rsidRPr="00627709">
              <w:t>( ASL</w:t>
            </w:r>
            <w:proofErr w:type="gramEnd"/>
            <w:r w:rsidRPr="00627709">
              <w:t>, Comune, etc.) e privati, Università, enti di ricerca, aziende informatiche, Protezione civile.</w:t>
            </w:r>
          </w:p>
          <w:p w:rsidR="00627709" w:rsidRPr="00627709" w:rsidRDefault="00627709" w:rsidP="00627709">
            <w:pPr>
              <w:spacing w:after="200" w:line="276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ind w:left="113" w:right="113"/>
              <w:jc w:val="center"/>
              <w:rPr>
                <w:sz w:val="18"/>
              </w:rPr>
            </w:pPr>
            <w:r w:rsidRPr="00627709">
              <w:rPr>
                <w:b/>
                <w:sz w:val="18"/>
              </w:rPr>
              <w:t>Interdisciplinarità</w:t>
            </w:r>
          </w:p>
        </w:tc>
        <w:tc>
          <w:tcPr>
            <w:tcW w:w="14288" w:type="dxa"/>
            <w:gridSpan w:val="5"/>
          </w:tcPr>
          <w:p w:rsidR="00627709" w:rsidRPr="00627709" w:rsidRDefault="00627709" w:rsidP="00627709"/>
          <w:p w:rsidR="00627709" w:rsidRPr="00627709" w:rsidRDefault="00627709" w:rsidP="00627709">
            <w:r w:rsidRPr="00627709">
              <w:t>La matematica è conoscenza della realtà con i suoi elementi, le sue quantità, i suoi spazi, le sue forme, le sue relazioni, le sue molteplici e varie situazioni/problema. La conoscenza della realtà implica tutti gli aspetti di essa: linguistico, logico-matematico, scientifico, storico, geografico, economico, tecnologico.</w:t>
            </w:r>
          </w:p>
          <w:p w:rsidR="00627709" w:rsidRPr="00627709" w:rsidRDefault="00627709" w:rsidP="00627709"/>
          <w:p w:rsidR="00627709" w:rsidRPr="00627709" w:rsidRDefault="00627709" w:rsidP="00627709">
            <w:r w:rsidRPr="00627709">
              <w:t>Visione storico-critica delle tematiche e rapporti con il contesto filosofico, scientifico e tecnologico</w:t>
            </w:r>
          </w:p>
          <w:p w:rsidR="00627709" w:rsidRPr="00627709" w:rsidRDefault="00627709" w:rsidP="00627709"/>
          <w:p w:rsidR="00627709" w:rsidRPr="00627709" w:rsidRDefault="00627709" w:rsidP="00627709">
            <w:r w:rsidRPr="00627709">
              <w:t>Visione storico-critica delle tematiche e rapporti con il contesto filosofico, scientifico e tecnologico</w:t>
            </w:r>
          </w:p>
          <w:p w:rsidR="00627709" w:rsidRPr="00627709" w:rsidRDefault="00627709" w:rsidP="00627709"/>
          <w:p w:rsidR="00627709" w:rsidRPr="00627709" w:rsidRDefault="00627709" w:rsidP="00627709">
            <w:pPr>
              <w:spacing w:after="200" w:line="276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27709">
              <w:rPr>
                <w:rFonts w:ascii="Calibri" w:eastAsia="Calibri" w:hAnsi="Calibri" w:cs="Calibri"/>
                <w:color w:val="000000"/>
                <w:lang w:eastAsia="it-IT"/>
              </w:rPr>
              <w:t>Reperimento, adeguamento ed utilizzazione in contesto di strumenti e modelli matematici e statistici per le materie d'indirizzo e per la pratica professionale.</w:t>
            </w:r>
          </w:p>
          <w:p w:rsidR="00627709" w:rsidRPr="00627709" w:rsidRDefault="00627709" w:rsidP="00627709"/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jc w:val="center"/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  <w:r w:rsidRPr="00627709">
              <w:rPr>
                <w:rFonts w:ascii="Calibri" w:eastAsia="Calibri" w:hAnsi="Calibri" w:cs="Calibri"/>
                <w:color w:val="000000"/>
                <w:lang w:eastAsia="it-IT"/>
              </w:rPr>
              <w:t>Verticalità</w:t>
            </w:r>
          </w:p>
        </w:tc>
        <w:tc>
          <w:tcPr>
            <w:tcW w:w="14288" w:type="dxa"/>
            <w:gridSpan w:val="5"/>
          </w:tcPr>
          <w:p w:rsidR="00627709" w:rsidRPr="00627709" w:rsidRDefault="00627709" w:rsidP="00627709"/>
          <w:p w:rsidR="00627709" w:rsidRPr="00627709" w:rsidRDefault="00627709" w:rsidP="00627709">
            <w:r w:rsidRPr="00627709">
              <w:t xml:space="preserve">Raccordo con il </w:t>
            </w:r>
            <w:proofErr w:type="gramStart"/>
            <w:r w:rsidRPr="00627709">
              <w:t>primo  biennio</w:t>
            </w:r>
            <w:proofErr w:type="gramEnd"/>
            <w:r w:rsidRPr="00627709">
              <w:t xml:space="preserve"> (Esame  prove invalsi primo biennio, analisi delle competenze raggiunte a fine primo  biennio,  incontri informativi con i docenti del biennio)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</w:p>
          <w:p w:rsidR="00627709" w:rsidRPr="00627709" w:rsidRDefault="00627709" w:rsidP="00627709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 w:rsidRPr="00627709">
              <w:rPr>
                <w:b/>
                <w:sz w:val="18"/>
              </w:rPr>
              <w:t>Bes</w:t>
            </w:r>
            <w:proofErr w:type="spellEnd"/>
          </w:p>
        </w:tc>
        <w:tc>
          <w:tcPr>
            <w:tcW w:w="14288" w:type="dxa"/>
            <w:gridSpan w:val="5"/>
          </w:tcPr>
          <w:p w:rsidR="00627709" w:rsidRPr="00627709" w:rsidRDefault="00627709" w:rsidP="00627709">
            <w:r w:rsidRPr="00627709">
              <w:t xml:space="preserve">Per gli alunni che rientrano nella categoria </w:t>
            </w:r>
            <w:proofErr w:type="spellStart"/>
            <w:r w:rsidRPr="00627709">
              <w:t>Bes</w:t>
            </w:r>
            <w:proofErr w:type="spellEnd"/>
            <w:r w:rsidRPr="00627709">
              <w:t xml:space="preserve"> il curriculo d’Istituto tenderà a:</w:t>
            </w:r>
          </w:p>
          <w:p w:rsidR="00627709" w:rsidRPr="00627709" w:rsidRDefault="00627709" w:rsidP="00627709">
            <w:pPr>
              <w:numPr>
                <w:ilvl w:val="0"/>
                <w:numId w:val="14"/>
              </w:numPr>
              <w:contextualSpacing/>
            </w:pPr>
            <w:r w:rsidRPr="00627709">
              <w:t>Valorizzare le capacità</w:t>
            </w:r>
          </w:p>
          <w:p w:rsidR="00627709" w:rsidRPr="00627709" w:rsidRDefault="00627709" w:rsidP="00627709">
            <w:pPr>
              <w:numPr>
                <w:ilvl w:val="0"/>
                <w:numId w:val="14"/>
              </w:numPr>
              <w:contextualSpacing/>
            </w:pPr>
            <w:r w:rsidRPr="00627709">
              <w:t>Adattare la didattica alle problematiche specifiche utilizzando strumenti idonei</w:t>
            </w:r>
          </w:p>
          <w:p w:rsidR="00627709" w:rsidRPr="00627709" w:rsidRDefault="00627709" w:rsidP="00627709">
            <w:pPr>
              <w:numPr>
                <w:ilvl w:val="0"/>
                <w:numId w:val="14"/>
              </w:numPr>
              <w:contextualSpacing/>
              <w:rPr>
                <w:b/>
              </w:rPr>
            </w:pPr>
            <w:r w:rsidRPr="00627709">
              <w:t>Calibrare i contenuti e gli obiettivi</w:t>
            </w:r>
          </w:p>
        </w:tc>
      </w:tr>
    </w:tbl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1891"/>
        <w:gridCol w:w="1653"/>
        <w:gridCol w:w="4649"/>
        <w:gridCol w:w="2693"/>
        <w:gridCol w:w="3402"/>
      </w:tblGrid>
      <w:tr w:rsidR="00627709" w:rsidRPr="00627709" w:rsidTr="00D55A23">
        <w:trPr>
          <w:trHeight w:val="297"/>
        </w:trPr>
        <w:tc>
          <w:tcPr>
            <w:tcW w:w="1144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sz w:val="28"/>
              </w:rPr>
              <w:t xml:space="preserve">SEZIONE A: </w:t>
            </w:r>
            <w:r w:rsidRPr="00627709">
              <w:rPr>
                <w:b/>
                <w:sz w:val="28"/>
              </w:rPr>
              <w:t>TRAGUARDI FORMATIVI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Scuola Sec. II grado</w:t>
            </w:r>
          </w:p>
        </w:tc>
      </w:tr>
      <w:tr w:rsidR="00627709" w:rsidRPr="00627709" w:rsidTr="00D55A23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Disciplina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709" w:rsidRPr="00627709" w:rsidRDefault="008F077A" w:rsidP="00627709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627709" w:rsidRPr="00627709" w:rsidTr="00D55A23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27709" w:rsidRPr="00627709" w:rsidRDefault="008F077A" w:rsidP="008F077A">
            <w:pPr>
              <w:rPr>
                <w:sz w:val="28"/>
              </w:rPr>
            </w:pPr>
            <w:r>
              <w:rPr>
                <w:sz w:val="28"/>
              </w:rPr>
              <w:t>Imparare a imparare</w:t>
            </w:r>
          </w:p>
        </w:tc>
      </w:tr>
      <w:tr w:rsidR="00627709" w:rsidRPr="00627709" w:rsidTr="00D55A23">
        <w:trPr>
          <w:trHeight w:val="310"/>
        </w:trPr>
        <w:tc>
          <w:tcPr>
            <w:tcW w:w="1485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627709" w:rsidRPr="00627709" w:rsidRDefault="00FE1880" w:rsidP="0062770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</w:t>
            </w:r>
          </w:p>
        </w:tc>
      </w:tr>
      <w:tr w:rsidR="00627709" w:rsidRPr="00627709" w:rsidTr="00D55A23">
        <w:trPr>
          <w:trHeight w:val="310"/>
        </w:trPr>
        <w:tc>
          <w:tcPr>
            <w:tcW w:w="245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Competenze specifiche</w:t>
            </w:r>
          </w:p>
        </w:tc>
        <w:tc>
          <w:tcPr>
            <w:tcW w:w="6302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Conoscenze</w:t>
            </w: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Abilità</w:t>
            </w:r>
          </w:p>
        </w:tc>
      </w:tr>
      <w:tr w:rsidR="00627709" w:rsidRPr="00627709" w:rsidTr="00D55A23">
        <w:trPr>
          <w:trHeight w:val="1701"/>
        </w:trPr>
        <w:tc>
          <w:tcPr>
            <w:tcW w:w="2453" w:type="dxa"/>
            <w:gridSpan w:val="2"/>
          </w:tcPr>
          <w:p w:rsidR="008F077A" w:rsidRDefault="008F077A" w:rsidP="008F07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8" w:after="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Lo studente conoscerà i principali eventi e le trasformazioni di lungo periodo della storia dell’Europa e dell’Italia, dall’antichità ai giorni nostri, nel quadro della storia globale del mondo; userà in maniera appropriata il lessico e le categorie interpretative proprie della disciplina; sarà in grado di  leggere e valutare le diverse fonti; guardare alla storia come a una dimensione significativa per comprendere, attraverso la discussione critica e il confronto fra una varietà di prospettive e interpretazioni, le radici del presente.</w:t>
            </w:r>
          </w:p>
          <w:p w:rsidR="00627709" w:rsidRPr="00627709" w:rsidRDefault="008F077A" w:rsidP="008F077A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Il punto di partenza sarà la sottolineatura della dimensione temporale di ogni evento e la capacità di collocarlo nella giusta successione cronologica, in quanto insegnare storia è proporre lo svolgimento di eventi correlati fra loro secondo il tempo.</w:t>
            </w:r>
          </w:p>
        </w:tc>
        <w:tc>
          <w:tcPr>
            <w:tcW w:w="6302" w:type="dxa"/>
            <w:gridSpan w:val="2"/>
          </w:tcPr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>Lo studente conoscerà i principali eventi e le trasformazioni di lungo periodo della storia dell’Europa e dell’Italia, dall’antichità ai giorni nostri, nel quadro della storia globale del mondo; userà in maniera appropriata il lessico e le categorie interpretative proprie della disciplina; sarà in grado di  leggere e valutare le diverse fonti; guardare alla storia come a una dimensione significativa per comprendere, attraverso la discussione critica e il confronto fra una varietà di prospettive e interpretazioni, le radici del presente.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>Il punto di partenza sarà la sottolineatura della dimensione temporale di ogni evento e la capacità di collocarlo nella giusta successione cronologica, in quanto insegnare storia è proporre lo svolgimento di eventi correlati fra loro secondo il tempo.</w:t>
            </w:r>
            <w:r w:rsidRPr="00273D33">
              <w:rPr>
                <w:sz w:val="18"/>
                <w:szCs w:val="18"/>
              </w:rPr>
              <w:tab/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>PRIMO ANNO SECONDO BIENNIO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>Il terzo e il quarto anno saranno dedicati allo studio del processo di formazione dell’Europa e del suo aprirsi ad una dimensione globale tra medioevo ed età moderna, nell’arco cronologico che va dall’XI secolo fino alle soglie del Novecento.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 xml:space="preserve">Nella costruzione dei percorsi didattici non potranno essere tralasciati i seguenti nuclei tematici: i diversi aspetti della rinascita dell’XI secolo; i poteri universali (Papato e Impero), comuni e monarchie; la Chiesa e i movimenti religiosi; società ed economia nell’Europa basso medievale; la crisi dei poteri universali e l’avvento delle monarchie territoriali e delle Signorie; le scoperte geografiche e le loro conseguenze; la definitiva crisi dell’unità religiosa dell’Europa; la costruzione degli stati moderni e l’assolutismo; 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>SECONDO ANNO SECONDO BIENNIO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>Lo sviluppo dell’economia fino alla rivoluzione industriale; le rivoluzioni politiche del Sei-Settecento (inglese, americana, francese); l’età napoleonica e la Restaurazione; il problema della nazionalità nell’Ottocento, il Risorgimento italiano e l’Italia unita; l’Occidente degli Stati-Nazione; la questione sociale e il movimento operaio; la seconda rivoluzione industriale; l’imperialismo e il nazionalismo; lo sviluppo dello Stato italiano fino alla fine dell’Ottocento.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 xml:space="preserve">E’ opportuno che alcuni temi cruciali (ad esempio: società e cultura del Medioevo, il Rinascimento, La nascita della cultura scientifica nel Seicento, l’Illuminismo, il Romanticismo) siano trattati in modo interdisciplinare, in relazione agli altri insegnamenti. 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ab/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>d’Italia nel secondo dopoguerra: la ricostruzione, il boom economico, le riforme degli anni Sessanta e Settanta, il terrorismo, Tangentopoli e la crisi del sistema politico all’inizio degli anni 90.</w:t>
            </w:r>
          </w:p>
          <w:p w:rsidR="003E0E1B" w:rsidRPr="00273D33" w:rsidRDefault="00273D33" w:rsidP="003E0E1B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ab/>
            </w:r>
          </w:p>
          <w:p w:rsidR="00627709" w:rsidRPr="00627709" w:rsidRDefault="00627709" w:rsidP="00273D33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 xml:space="preserve">Saper utilizzare in modo appropriato la terminologia specifica. 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 xml:space="preserve">Saper analizzare i testi studiati 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proofErr w:type="gramStart"/>
            <w:r w:rsidRPr="00273D33">
              <w:rPr>
                <w:sz w:val="18"/>
                <w:szCs w:val="18"/>
              </w:rPr>
              <w:t>comprendendone</w:t>
            </w:r>
            <w:proofErr w:type="gramEnd"/>
            <w:r w:rsidRPr="00273D33">
              <w:rPr>
                <w:sz w:val="18"/>
                <w:szCs w:val="18"/>
              </w:rPr>
              <w:t xml:space="preserve"> i termini e i concetti principali.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 xml:space="preserve">Saper utilizzare le fonti storiche e storiografiche: 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proofErr w:type="gramStart"/>
            <w:r w:rsidRPr="00273D33">
              <w:rPr>
                <w:sz w:val="18"/>
                <w:szCs w:val="18"/>
              </w:rPr>
              <w:t>ricostruire</w:t>
            </w:r>
            <w:proofErr w:type="gramEnd"/>
            <w:r w:rsidRPr="00273D33">
              <w:rPr>
                <w:sz w:val="18"/>
                <w:szCs w:val="18"/>
              </w:rPr>
              <w:t xml:space="preserve"> le argomentazioni; cogliere gli elementi utili a sostegno di una tesi. 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 xml:space="preserve">Saper argomentare in relazione a quanto studiato. 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 xml:space="preserve">Saper analizzare le situazioni storiche studiate: 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proofErr w:type="gramStart"/>
            <w:r w:rsidRPr="00273D33">
              <w:rPr>
                <w:sz w:val="18"/>
                <w:szCs w:val="18"/>
              </w:rPr>
              <w:t>collegamento</w:t>
            </w:r>
            <w:proofErr w:type="gramEnd"/>
            <w:r w:rsidRPr="00273D33">
              <w:rPr>
                <w:sz w:val="18"/>
                <w:szCs w:val="18"/>
              </w:rPr>
              <w:t xml:space="preserve"> con il contesto più generale; ordinamento in sequenze temporali; 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proofErr w:type="gramStart"/>
            <w:r w:rsidRPr="00273D33">
              <w:rPr>
                <w:sz w:val="18"/>
                <w:szCs w:val="18"/>
              </w:rPr>
              <w:t>individuazione</w:t>
            </w:r>
            <w:proofErr w:type="gramEnd"/>
            <w:r w:rsidRPr="00273D33">
              <w:rPr>
                <w:sz w:val="18"/>
                <w:szCs w:val="18"/>
              </w:rPr>
              <w:t xml:space="preserve"> elementi caratterizzanti; lettura e interpretazione di cartine geografiche. </w:t>
            </w:r>
          </w:p>
          <w:p w:rsidR="00273D33" w:rsidRPr="00273D33" w:rsidRDefault="00273D33" w:rsidP="00273D33">
            <w:pPr>
              <w:rPr>
                <w:sz w:val="18"/>
                <w:szCs w:val="18"/>
              </w:rPr>
            </w:pPr>
            <w:r w:rsidRPr="00273D33">
              <w:rPr>
                <w:sz w:val="18"/>
                <w:szCs w:val="18"/>
              </w:rPr>
              <w:t xml:space="preserve">Saper riflettere </w:t>
            </w:r>
            <w:proofErr w:type="gramStart"/>
            <w:r w:rsidRPr="00273D33">
              <w:rPr>
                <w:sz w:val="18"/>
                <w:szCs w:val="18"/>
              </w:rPr>
              <w:t>sugli  argomenti</w:t>
            </w:r>
            <w:proofErr w:type="gramEnd"/>
            <w:r w:rsidRPr="00273D33">
              <w:rPr>
                <w:sz w:val="18"/>
                <w:szCs w:val="18"/>
              </w:rPr>
              <w:t xml:space="preserve"> studiati </w:t>
            </w:r>
          </w:p>
          <w:p w:rsidR="003E0E1B" w:rsidRPr="00273D33" w:rsidRDefault="00273D33" w:rsidP="003E0E1B">
            <w:pPr>
              <w:rPr>
                <w:sz w:val="18"/>
                <w:szCs w:val="18"/>
              </w:rPr>
            </w:pPr>
            <w:proofErr w:type="gramStart"/>
            <w:r w:rsidRPr="00273D33">
              <w:rPr>
                <w:sz w:val="18"/>
                <w:szCs w:val="18"/>
              </w:rPr>
              <w:t>individuando</w:t>
            </w:r>
            <w:proofErr w:type="gramEnd"/>
            <w:r w:rsidRPr="00273D33">
              <w:rPr>
                <w:sz w:val="18"/>
                <w:szCs w:val="18"/>
              </w:rPr>
              <w:t xml:space="preserve"> cause/effetti/interazioni e cogliendo analogie e differenze tra momenti e fatti storici.</w:t>
            </w:r>
            <w:r w:rsidRPr="00273D33">
              <w:rPr>
                <w:sz w:val="18"/>
                <w:szCs w:val="18"/>
              </w:rPr>
              <w:tab/>
            </w:r>
          </w:p>
          <w:p w:rsidR="00627709" w:rsidRPr="00627709" w:rsidRDefault="00627709" w:rsidP="00273D33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ind w:left="113" w:right="113"/>
              <w:jc w:val="center"/>
              <w:rPr>
                <w:sz w:val="18"/>
              </w:rPr>
            </w:pPr>
            <w:r w:rsidRPr="00627709">
              <w:rPr>
                <w:b/>
                <w:sz w:val="18"/>
              </w:rPr>
              <w:t>Orizzontalità</w:t>
            </w:r>
          </w:p>
          <w:p w:rsidR="00627709" w:rsidRPr="00627709" w:rsidRDefault="00627709" w:rsidP="00627709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5"/>
          </w:tcPr>
          <w:p w:rsidR="00627709" w:rsidRPr="00627709" w:rsidRDefault="00627709" w:rsidP="00627709"/>
          <w:p w:rsidR="00627709" w:rsidRPr="00627709" w:rsidRDefault="00627709" w:rsidP="00627709">
            <w:pPr>
              <w:rPr>
                <w:b/>
              </w:rPr>
            </w:pPr>
          </w:p>
          <w:p w:rsidR="00627709" w:rsidRPr="008F077A" w:rsidRDefault="008F077A" w:rsidP="008F077A">
            <w:pPr>
              <w:rPr>
                <w:b/>
              </w:rPr>
            </w:pPr>
            <w:r w:rsidRPr="00506278">
              <w:t>Uscite finalizzate all’attività didattica del territorio</w:t>
            </w: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ind w:left="113" w:right="113"/>
              <w:jc w:val="center"/>
              <w:rPr>
                <w:sz w:val="18"/>
              </w:rPr>
            </w:pPr>
            <w:r w:rsidRPr="00627709">
              <w:rPr>
                <w:b/>
                <w:sz w:val="18"/>
              </w:rPr>
              <w:t>Interdisciplinarità</w:t>
            </w:r>
          </w:p>
        </w:tc>
        <w:tc>
          <w:tcPr>
            <w:tcW w:w="14288" w:type="dxa"/>
            <w:gridSpan w:val="5"/>
          </w:tcPr>
          <w:p w:rsidR="00627709" w:rsidRPr="00627709" w:rsidRDefault="00627709" w:rsidP="00627709"/>
          <w:tbl>
            <w:tblPr>
              <w:tblStyle w:val="Grigliatabella1"/>
              <w:tblW w:w="13537" w:type="dxa"/>
              <w:tblInd w:w="384" w:type="dxa"/>
              <w:tblLayout w:type="fixed"/>
              <w:tblLook w:val="04A0" w:firstRow="1" w:lastRow="0" w:firstColumn="1" w:lastColumn="0" w:noHBand="0" w:noVBand="1"/>
            </w:tblPr>
            <w:tblGrid>
              <w:gridCol w:w="5336"/>
              <w:gridCol w:w="8201"/>
            </w:tblGrid>
            <w:tr w:rsidR="008F077A" w:rsidTr="00595C41">
              <w:trPr>
                <w:trHeight w:val="445"/>
              </w:trPr>
              <w:tc>
                <w:tcPr>
                  <w:tcW w:w="5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077A" w:rsidRDefault="008F077A" w:rsidP="008F077A">
                  <w:pPr>
                    <w:suppressLineNumbers/>
                    <w:suppressAutoHyphens/>
                    <w:snapToGrid w:val="0"/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  <w:t>Assi/discipline coinvolte:</w:t>
                  </w:r>
                </w:p>
                <w:p w:rsidR="008F077A" w:rsidRDefault="008F077A" w:rsidP="008F077A">
                  <w:pPr>
                    <w:widowControl w:val="0"/>
                    <w:numPr>
                      <w:ilvl w:val="0"/>
                      <w:numId w:val="15"/>
                    </w:numPr>
                    <w:suppressLineNumbers/>
                    <w:tabs>
                      <w:tab w:val="left" w:pos="1440"/>
                    </w:tabs>
                    <w:suppressAutoHyphens/>
                    <w:snapToGrid w:val="0"/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  <w:t xml:space="preserve">Asse Scientifico Tecnologico: </w:t>
                  </w:r>
                  <w:r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  <w:t>scienze</w:t>
                  </w:r>
                </w:p>
              </w:tc>
              <w:tc>
                <w:tcPr>
                  <w:tcW w:w="8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077A" w:rsidRDefault="008F077A" w:rsidP="008F077A">
                  <w:pPr>
                    <w:rPr>
                      <w:b/>
                    </w:rPr>
                  </w:pPr>
                </w:p>
                <w:p w:rsidR="008F077A" w:rsidRDefault="008F077A" w:rsidP="008F077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Scienze: </w:t>
                  </w:r>
                  <w:r>
                    <w:t>La magia e l’alchimia rinascimentali come anticipazione della chimica moderna</w:t>
                  </w:r>
                </w:p>
              </w:tc>
            </w:tr>
            <w:tr w:rsidR="008F077A" w:rsidTr="00595C41">
              <w:trPr>
                <w:trHeight w:val="444"/>
              </w:trPr>
              <w:tc>
                <w:tcPr>
                  <w:tcW w:w="5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077A" w:rsidRDefault="008F077A" w:rsidP="008F077A">
                  <w:pPr>
                    <w:widowControl w:val="0"/>
                    <w:numPr>
                      <w:ilvl w:val="0"/>
                      <w:numId w:val="15"/>
                    </w:numPr>
                    <w:suppressLineNumbers/>
                    <w:tabs>
                      <w:tab w:val="left" w:pos="1440"/>
                    </w:tabs>
                    <w:suppressAutoHyphens/>
                    <w:snapToGrid w:val="0"/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  <w:t>Asse Linguaggi: i</w:t>
                  </w:r>
                  <w:r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  <w:t>taliano, latino, disegno e storia dell'arte</w:t>
                  </w:r>
                </w:p>
                <w:p w:rsidR="008F077A" w:rsidRDefault="008F077A" w:rsidP="008F077A">
                  <w:pPr>
                    <w:suppressLineNumbers/>
                    <w:suppressAutoHyphens/>
                    <w:snapToGrid w:val="0"/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</w:pPr>
                </w:p>
              </w:tc>
              <w:tc>
                <w:tcPr>
                  <w:tcW w:w="8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077A" w:rsidRDefault="008F077A" w:rsidP="008F077A">
                  <w:r>
                    <w:rPr>
                      <w:b/>
                    </w:rPr>
                    <w:t xml:space="preserve">Italiano: </w:t>
                  </w:r>
                  <w:r>
                    <w:t>La concezione della storia in Machiavelli Guicciardini</w:t>
                  </w:r>
                </w:p>
                <w:p w:rsidR="008F077A" w:rsidRDefault="008F077A" w:rsidP="008F077A">
                  <w:pPr>
                    <w:rPr>
                      <w:b/>
                    </w:rPr>
                  </w:pPr>
                  <w:r>
                    <w:t>Storia dell’arte: La rivoluzione artistica dell’umanesimo e del rinascimento</w:t>
                  </w:r>
                </w:p>
              </w:tc>
            </w:tr>
            <w:tr w:rsidR="008F077A" w:rsidTr="00595C41">
              <w:trPr>
                <w:trHeight w:val="444"/>
              </w:trPr>
              <w:tc>
                <w:tcPr>
                  <w:tcW w:w="5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077A" w:rsidRDefault="008F077A" w:rsidP="008F077A">
                  <w:pPr>
                    <w:widowControl w:val="0"/>
                    <w:numPr>
                      <w:ilvl w:val="0"/>
                      <w:numId w:val="15"/>
                    </w:numPr>
                    <w:suppressLineNumbers/>
                    <w:tabs>
                      <w:tab w:val="left" w:pos="1440"/>
                    </w:tabs>
                    <w:suppressAutoHyphens/>
                    <w:snapToGrid w:val="0"/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  <w:t xml:space="preserve">Asse Storico Sociale: </w:t>
                  </w:r>
                  <w:r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  <w:t>storia, religione</w:t>
                  </w:r>
                </w:p>
              </w:tc>
              <w:tc>
                <w:tcPr>
                  <w:tcW w:w="8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077A" w:rsidRDefault="008F077A" w:rsidP="008F077A">
                  <w:r>
                    <w:rPr>
                      <w:b/>
                    </w:rPr>
                    <w:t>Storia</w:t>
                  </w:r>
                  <w:r>
                    <w:t>: evoluzione dei rapporti fra governanti e governati e del ruolo dello Stato; passaggio dell’economia chiusa dell’epoca feudale a quella di mercato.</w:t>
                  </w:r>
                </w:p>
                <w:p w:rsidR="008F077A" w:rsidRDefault="008F077A" w:rsidP="008F077A">
                  <w:r>
                    <w:t>Religione: Umanesimo, Rinascimento e Riforma Protestante come rottura della concezione medievale della religione cristiana.</w:t>
                  </w:r>
                </w:p>
              </w:tc>
            </w:tr>
            <w:tr w:rsidR="008F077A" w:rsidTr="00595C41">
              <w:trPr>
                <w:trHeight w:val="444"/>
              </w:trPr>
              <w:tc>
                <w:tcPr>
                  <w:tcW w:w="5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077A" w:rsidRDefault="008F077A" w:rsidP="008F077A">
                  <w:pPr>
                    <w:widowControl w:val="0"/>
                    <w:numPr>
                      <w:ilvl w:val="0"/>
                      <w:numId w:val="15"/>
                    </w:numPr>
                    <w:suppressLineNumbers/>
                    <w:tabs>
                      <w:tab w:val="left" w:pos="1440"/>
                    </w:tabs>
                    <w:suppressAutoHyphens/>
                    <w:snapToGrid w:val="0"/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color w:val="000000" w:themeColor="text1"/>
                      <w:lang w:eastAsia="ar-SA"/>
                    </w:rPr>
                    <w:t>Asse Matematico</w:t>
                  </w:r>
                  <w:r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  <w:t>: matematica-informatica</w:t>
                  </w:r>
                </w:p>
              </w:tc>
              <w:tc>
                <w:tcPr>
                  <w:tcW w:w="8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077A" w:rsidRDefault="008F077A" w:rsidP="008F077A">
                  <w:proofErr w:type="spellStart"/>
                  <w:r>
                    <w:rPr>
                      <w:b/>
                    </w:rPr>
                    <w:t>Matamatica</w:t>
                  </w:r>
                  <w:proofErr w:type="spellEnd"/>
                  <w:r>
                    <w:t>: Luca Pacioli e la scoperta della “partita doppia”. I rapporti tra capitalismo e matematica</w:t>
                  </w:r>
                </w:p>
              </w:tc>
            </w:tr>
          </w:tbl>
          <w:p w:rsidR="00627709" w:rsidRPr="00627709" w:rsidRDefault="00627709" w:rsidP="00627709">
            <w:pPr>
              <w:spacing w:after="200" w:line="276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tbl>
            <w:tblPr>
              <w:tblpPr w:leftFromText="141" w:rightFromText="141" w:vertAnchor="text" w:tblpY="1"/>
              <w:tblOverlap w:val="never"/>
              <w:tblW w:w="14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70"/>
              <w:gridCol w:w="14039"/>
            </w:tblGrid>
            <w:tr w:rsidR="00627709" w:rsidRPr="00627709" w:rsidTr="00D55A23">
              <w:trPr>
                <w:cantSplit/>
                <w:trHeight w:val="1262"/>
              </w:trPr>
              <w:tc>
                <w:tcPr>
                  <w:tcW w:w="670" w:type="dxa"/>
                  <w:textDirection w:val="btLr"/>
                  <w:vAlign w:val="center"/>
                </w:tcPr>
                <w:p w:rsidR="00627709" w:rsidRPr="00627709" w:rsidRDefault="00627709" w:rsidP="00627709">
                  <w:pPr>
                    <w:spacing w:after="0" w:line="240" w:lineRule="auto"/>
                    <w:ind w:left="113" w:right="113"/>
                    <w:jc w:val="center"/>
                    <w:rPr>
                      <w:highlight w:val="yellow"/>
                    </w:rPr>
                  </w:pPr>
                  <w:r w:rsidRPr="00627709">
                    <w:rPr>
                      <w:b/>
                      <w:sz w:val="18"/>
                    </w:rPr>
                    <w:t>Verticalità</w:t>
                  </w:r>
                </w:p>
              </w:tc>
              <w:tc>
                <w:tcPr>
                  <w:tcW w:w="14039" w:type="dxa"/>
                </w:tcPr>
                <w:p w:rsidR="00627709" w:rsidRPr="00627709" w:rsidRDefault="00627709" w:rsidP="00627709">
                  <w:pPr>
                    <w:spacing w:after="200" w:line="276" w:lineRule="auto"/>
                    <w:rPr>
                      <w:rFonts w:ascii="Calibri" w:eastAsia="Calibri" w:hAnsi="Calibri" w:cs="Calibri"/>
                      <w:color w:val="000000"/>
                      <w:highlight w:val="yellow"/>
                      <w:lang w:eastAsia="it-IT"/>
                    </w:rPr>
                  </w:pPr>
                  <w:r w:rsidRPr="00627709">
                    <w:rPr>
                      <w:rFonts w:ascii="Calibri" w:eastAsia="Calibri" w:hAnsi="Calibri" w:cs="Calibri"/>
                      <w:color w:val="000000"/>
                      <w:highlight w:val="yellow"/>
                      <w:lang w:eastAsia="it-IT"/>
                    </w:rPr>
                    <w:t>Raccordo con la scuola secondaria di primo grado (Esame fascicoli, prove invalsi, incontri informativi con i docenti della scuola secondaria di primo grado)</w:t>
                  </w:r>
                </w:p>
              </w:tc>
            </w:tr>
          </w:tbl>
          <w:p w:rsidR="00627709" w:rsidRPr="00627709" w:rsidRDefault="00627709" w:rsidP="00627709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</w:p>
        </w:tc>
        <w:tc>
          <w:tcPr>
            <w:tcW w:w="14288" w:type="dxa"/>
            <w:gridSpan w:val="5"/>
          </w:tcPr>
          <w:p w:rsidR="00627709" w:rsidRPr="00627709" w:rsidRDefault="00627709" w:rsidP="00627709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  <w:r w:rsidRPr="00627709">
              <w:t>Raccordo in ingresso con il secondo biennio e in uscita con Università e altri Enti.</w:t>
            </w: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 w:rsidRPr="00627709">
              <w:rPr>
                <w:b/>
                <w:sz w:val="18"/>
              </w:rPr>
              <w:t>Bes</w:t>
            </w:r>
            <w:proofErr w:type="spellEnd"/>
          </w:p>
        </w:tc>
        <w:tc>
          <w:tcPr>
            <w:tcW w:w="14288" w:type="dxa"/>
            <w:gridSpan w:val="5"/>
          </w:tcPr>
          <w:p w:rsidR="00627709" w:rsidRPr="00627709" w:rsidRDefault="00627709" w:rsidP="00627709">
            <w:r w:rsidRPr="00627709">
              <w:t xml:space="preserve">Per gli alunni che rientrano nella categoria </w:t>
            </w:r>
            <w:proofErr w:type="spellStart"/>
            <w:r w:rsidRPr="00627709">
              <w:t>Bes</w:t>
            </w:r>
            <w:proofErr w:type="spellEnd"/>
            <w:r w:rsidRPr="00627709">
              <w:t xml:space="preserve"> il Curricolo d’Istituto tenderà a:</w:t>
            </w:r>
          </w:p>
          <w:p w:rsidR="00627709" w:rsidRPr="00627709" w:rsidRDefault="00627709" w:rsidP="00627709">
            <w:pPr>
              <w:numPr>
                <w:ilvl w:val="0"/>
                <w:numId w:val="14"/>
              </w:numPr>
              <w:contextualSpacing/>
            </w:pPr>
            <w:r w:rsidRPr="00627709">
              <w:t>Valorizzare le capacità</w:t>
            </w:r>
          </w:p>
          <w:p w:rsidR="00627709" w:rsidRPr="00627709" w:rsidRDefault="00627709" w:rsidP="00627709">
            <w:pPr>
              <w:numPr>
                <w:ilvl w:val="0"/>
                <w:numId w:val="14"/>
              </w:numPr>
              <w:contextualSpacing/>
            </w:pPr>
            <w:r w:rsidRPr="00627709">
              <w:t>Adattare la didattica alle problematiche specifiche utilizzando strumenti idonei</w:t>
            </w:r>
          </w:p>
          <w:p w:rsidR="00627709" w:rsidRPr="00627709" w:rsidRDefault="00627709" w:rsidP="00627709">
            <w:pPr>
              <w:numPr>
                <w:ilvl w:val="0"/>
                <w:numId w:val="14"/>
              </w:numPr>
              <w:contextualSpacing/>
              <w:rPr>
                <w:b/>
              </w:rPr>
            </w:pPr>
            <w:r w:rsidRPr="00627709">
              <w:t>Calibrare i contenuti e gli obiettivi</w:t>
            </w:r>
          </w:p>
        </w:tc>
      </w:tr>
    </w:tbl>
    <w:p w:rsidR="00627709" w:rsidRPr="00627709" w:rsidRDefault="00627709" w:rsidP="0062770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627709" w:rsidRPr="00627709" w:rsidTr="00D55A23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627709" w:rsidRPr="00627709" w:rsidRDefault="003E0E1B" w:rsidP="0062770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</w:t>
            </w:r>
          </w:p>
        </w:tc>
      </w:tr>
      <w:tr w:rsidR="00627709" w:rsidRPr="00627709" w:rsidTr="00D55A23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7709" w:rsidRPr="00627709" w:rsidRDefault="008F077A" w:rsidP="008F077A">
            <w:pPr>
              <w:rPr>
                <w:i/>
              </w:rPr>
            </w:pPr>
            <w:r w:rsidRPr="008F077A">
              <w:rPr>
                <w:sz w:val="20"/>
              </w:rPr>
              <w:t>Imparare a imparare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627709" w:rsidRPr="00627709" w:rsidRDefault="00627709" w:rsidP="00627709"/>
        </w:tc>
      </w:tr>
      <w:tr w:rsidR="00627709" w:rsidRPr="00627709" w:rsidTr="00D55A23">
        <w:tc>
          <w:tcPr>
            <w:tcW w:w="846" w:type="dxa"/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>Compiti significativi</w:t>
            </w:r>
          </w:p>
        </w:tc>
      </w:tr>
      <w:tr w:rsidR="00627709" w:rsidRPr="00627709" w:rsidTr="00D55A23">
        <w:tc>
          <w:tcPr>
            <w:tcW w:w="846" w:type="dxa"/>
          </w:tcPr>
          <w:p w:rsidR="00627709" w:rsidRPr="00627709" w:rsidRDefault="00627709" w:rsidP="00627709"/>
        </w:tc>
        <w:tc>
          <w:tcPr>
            <w:tcW w:w="5812" w:type="dxa"/>
            <w:gridSpan w:val="2"/>
          </w:tcPr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ab/>
            </w: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ab/>
              <w:t>Utilizza in modo adeguato la terminologia specifica e padroneggia i concetti principali dei testi studiati.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>Utilizza adeguatamente le fonti storiche e storiografiche nell’individuare ed elaborare argomentazioni a sostegno o contro una tesi.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 xml:space="preserve">Analizza adeguatamente le situazioni storiche studiate, collegandole con il contesto più generale, ordinandole in </w:t>
            </w:r>
          </w:p>
          <w:p w:rsidR="008F077A" w:rsidRPr="008F077A" w:rsidRDefault="008F077A" w:rsidP="008F077A">
            <w:pPr>
              <w:rPr>
                <w:sz w:val="20"/>
              </w:rPr>
            </w:pPr>
            <w:proofErr w:type="gramStart"/>
            <w:r w:rsidRPr="008F077A">
              <w:rPr>
                <w:sz w:val="20"/>
              </w:rPr>
              <w:t>sequenze</w:t>
            </w:r>
            <w:proofErr w:type="gramEnd"/>
            <w:r w:rsidRPr="008F077A">
              <w:rPr>
                <w:sz w:val="20"/>
              </w:rPr>
              <w:t xml:space="preserve"> temporali e individuandone gli elementi </w:t>
            </w:r>
          </w:p>
          <w:p w:rsidR="008F077A" w:rsidRPr="008F077A" w:rsidRDefault="008F077A" w:rsidP="008F077A">
            <w:pPr>
              <w:rPr>
                <w:sz w:val="20"/>
              </w:rPr>
            </w:pPr>
            <w:proofErr w:type="gramStart"/>
            <w:r w:rsidRPr="008F077A">
              <w:rPr>
                <w:sz w:val="20"/>
              </w:rPr>
              <w:t>caratterizzanti</w:t>
            </w:r>
            <w:proofErr w:type="gramEnd"/>
            <w:r w:rsidRPr="008F077A">
              <w:rPr>
                <w:sz w:val="20"/>
              </w:rPr>
              <w:t>.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 xml:space="preserve">Legge e interpreta adeguatamente </w:t>
            </w:r>
            <w:proofErr w:type="gramStart"/>
            <w:r w:rsidRPr="008F077A">
              <w:rPr>
                <w:sz w:val="20"/>
              </w:rPr>
              <w:t>le  cartine</w:t>
            </w:r>
            <w:proofErr w:type="gramEnd"/>
            <w:r w:rsidRPr="008F077A">
              <w:rPr>
                <w:sz w:val="20"/>
              </w:rPr>
              <w:t xml:space="preserve"> geografiche. 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 xml:space="preserve">Riflette </w:t>
            </w:r>
            <w:proofErr w:type="gramStart"/>
            <w:r w:rsidRPr="008F077A">
              <w:rPr>
                <w:sz w:val="20"/>
              </w:rPr>
              <w:t>sugli  argomenti</w:t>
            </w:r>
            <w:proofErr w:type="gramEnd"/>
            <w:r w:rsidRPr="008F077A">
              <w:rPr>
                <w:sz w:val="20"/>
              </w:rPr>
              <w:t xml:space="preserve"> studiati  individuando cause/effetti/interazioni e cogliendo analogie e differenze tra momenti e fatti storic</w:t>
            </w:r>
            <w:r>
              <w:rPr>
                <w:sz w:val="20"/>
              </w:rPr>
              <w:t>i</w:t>
            </w:r>
            <w:r w:rsidRPr="008F077A">
              <w:rPr>
                <w:sz w:val="20"/>
              </w:rPr>
              <w:tab/>
            </w:r>
          </w:p>
          <w:p w:rsidR="00627709" w:rsidRPr="00627709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 xml:space="preserve"> </w:t>
            </w:r>
          </w:p>
        </w:tc>
        <w:tc>
          <w:tcPr>
            <w:tcW w:w="760" w:type="dxa"/>
          </w:tcPr>
          <w:p w:rsidR="00627709" w:rsidRPr="00627709" w:rsidRDefault="00627709" w:rsidP="00627709"/>
        </w:tc>
        <w:tc>
          <w:tcPr>
            <w:tcW w:w="8276" w:type="dxa"/>
            <w:gridSpan w:val="2"/>
          </w:tcPr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>Elaborare una sintesi personale di passi significativi del testo.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 xml:space="preserve">(Lavoro di due gruppi) Ricercare e selezionare argomentazioni a favore di due diverse tesi interpretative su di uno stesso periodo o evento storico in contrapposizione con l’altro gruppo di lavoro.  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 xml:space="preserve"> Associare una breve descrizione dell’avvenimento storico con una foto o illustrazione che ne significativa e poi riordinare cronologicamente gli elementi dati.  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>In relazione ad un evento storico dato tracciare su di una cartina geografica linee che indichino le aree interessate dall’evento e i loro rapporti rispetto ad esso.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627709" w:rsidRPr="00627709" w:rsidRDefault="008F077A" w:rsidP="008F077A">
            <w:pPr>
              <w:contextualSpacing/>
              <w:rPr>
                <w:sz w:val="20"/>
              </w:rPr>
            </w:pPr>
            <w:r w:rsidRPr="008F077A">
              <w:rPr>
                <w:sz w:val="20"/>
              </w:rPr>
              <w:t xml:space="preserve">A partire da un dato evento storico considerato come punto di </w:t>
            </w:r>
            <w:proofErr w:type="gramStart"/>
            <w:r w:rsidRPr="008F077A">
              <w:rPr>
                <w:sz w:val="20"/>
              </w:rPr>
              <w:t>inizio ,e</w:t>
            </w:r>
            <w:proofErr w:type="gramEnd"/>
            <w:r w:rsidRPr="008F077A">
              <w:rPr>
                <w:sz w:val="20"/>
              </w:rPr>
              <w:t xml:space="preserve"> cambiandone i dettagli,  raccontare uno sviluppo storico  alternativo plausibile di quell’evento.    </w:t>
            </w:r>
          </w:p>
        </w:tc>
      </w:tr>
    </w:tbl>
    <w:p w:rsidR="00627709" w:rsidRPr="00627709" w:rsidRDefault="00627709" w:rsidP="00627709"/>
    <w:p w:rsidR="00627709" w:rsidRPr="00627709" w:rsidRDefault="00627709" w:rsidP="00627709"/>
    <w:tbl>
      <w:tblPr>
        <w:tblStyle w:val="Grigliatabella2"/>
        <w:tblW w:w="0" w:type="auto"/>
        <w:tblInd w:w="5" w:type="dxa"/>
        <w:tblLook w:val="04A0" w:firstRow="1" w:lastRow="0" w:firstColumn="1" w:lastColumn="0" w:noHBand="0" w:noVBand="1"/>
      </w:tblPr>
      <w:tblGrid>
        <w:gridCol w:w="3822"/>
        <w:gridCol w:w="2405"/>
        <w:gridCol w:w="255"/>
        <w:gridCol w:w="2777"/>
        <w:gridCol w:w="3148"/>
        <w:gridCol w:w="67"/>
        <w:gridCol w:w="3215"/>
      </w:tblGrid>
      <w:tr w:rsidR="008F077A" w:rsidRPr="008F077A" w:rsidTr="00595C41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i/>
                <w:sz w:val="28"/>
              </w:rPr>
            </w:pPr>
            <w:r w:rsidRPr="008F077A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i/>
                <w:sz w:val="28"/>
              </w:rPr>
            </w:pPr>
            <w:r w:rsidRPr="008F077A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077A" w:rsidRPr="008F077A" w:rsidRDefault="003E0E1B" w:rsidP="008F077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biennio</w:t>
            </w:r>
          </w:p>
        </w:tc>
      </w:tr>
      <w:tr w:rsidR="008F077A" w:rsidRPr="008F077A" w:rsidTr="00595C41">
        <w:tc>
          <w:tcPr>
            <w:tcW w:w="3822" w:type="dxa"/>
            <w:shd w:val="clear" w:color="auto" w:fill="E2EFD9" w:themeFill="accent6" w:themeFillTint="33"/>
          </w:tcPr>
          <w:p w:rsidR="008F077A" w:rsidRPr="008F077A" w:rsidRDefault="008F077A" w:rsidP="008F077A">
            <w:pPr>
              <w:rPr>
                <w:b/>
              </w:rPr>
            </w:pPr>
            <w:r w:rsidRPr="008F077A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8F077A" w:rsidRPr="008F077A" w:rsidRDefault="008F077A" w:rsidP="008F077A">
            <w:pPr>
              <w:rPr>
                <w:b/>
                <w:i/>
              </w:rPr>
            </w:pPr>
            <w:r w:rsidRPr="008F077A">
              <w:rPr>
                <w:sz w:val="28"/>
                <w:szCs w:val="28"/>
              </w:rPr>
              <w:t>Imparare</w:t>
            </w:r>
            <w:r w:rsidRPr="008F077A">
              <w:rPr>
                <w:i/>
                <w:sz w:val="28"/>
                <w:szCs w:val="28"/>
              </w:rPr>
              <w:t xml:space="preserve"> </w:t>
            </w:r>
            <w:r w:rsidRPr="008F077A">
              <w:rPr>
                <w:sz w:val="28"/>
                <w:szCs w:val="28"/>
              </w:rPr>
              <w:t>a imparare</w:t>
            </w:r>
          </w:p>
        </w:tc>
      </w:tr>
      <w:tr w:rsidR="008F077A" w:rsidRPr="008F077A" w:rsidTr="00595C41">
        <w:tc>
          <w:tcPr>
            <w:tcW w:w="3822" w:type="dxa"/>
            <w:shd w:val="clear" w:color="auto" w:fill="E2EFD9" w:themeFill="accent6" w:themeFillTint="33"/>
          </w:tcPr>
          <w:p w:rsidR="008F077A" w:rsidRPr="008F077A" w:rsidRDefault="008F077A" w:rsidP="008F077A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6"/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i/>
                <w:sz w:val="28"/>
              </w:rPr>
            </w:pPr>
            <w:r w:rsidRPr="008F077A">
              <w:rPr>
                <w:b/>
                <w:i/>
                <w:sz w:val="28"/>
              </w:rPr>
              <w:t>Livelli di padronanza</w:t>
            </w:r>
          </w:p>
        </w:tc>
      </w:tr>
      <w:tr w:rsidR="008F077A" w:rsidRPr="008F077A" w:rsidTr="00595C41">
        <w:tc>
          <w:tcPr>
            <w:tcW w:w="3822" w:type="dxa"/>
            <w:shd w:val="clear" w:color="auto" w:fill="E2EFD9" w:themeFill="accent6" w:themeFillTint="33"/>
          </w:tcPr>
          <w:p w:rsidR="008F077A" w:rsidRPr="008F077A" w:rsidRDefault="008F077A" w:rsidP="008F077A">
            <w:pPr>
              <w:rPr>
                <w:b/>
              </w:rPr>
            </w:pPr>
            <w:r w:rsidRPr="008F077A">
              <w:rPr>
                <w:b/>
                <w:sz w:val="28"/>
              </w:rPr>
              <w:t>Criterio</w:t>
            </w:r>
          </w:p>
        </w:tc>
        <w:tc>
          <w:tcPr>
            <w:tcW w:w="2660" w:type="dxa"/>
            <w:gridSpan w:val="2"/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sz w:val="28"/>
              </w:rPr>
            </w:pPr>
            <w:r w:rsidRPr="008F077A">
              <w:rPr>
                <w:b/>
                <w:sz w:val="28"/>
              </w:rPr>
              <w:t>1</w:t>
            </w:r>
          </w:p>
        </w:tc>
        <w:tc>
          <w:tcPr>
            <w:tcW w:w="2777" w:type="dxa"/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sz w:val="28"/>
              </w:rPr>
            </w:pPr>
            <w:r w:rsidRPr="008F077A">
              <w:rPr>
                <w:b/>
                <w:sz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sz w:val="28"/>
              </w:rPr>
            </w:pPr>
            <w:r w:rsidRPr="008F077A">
              <w:rPr>
                <w:b/>
                <w:sz w:val="28"/>
              </w:rPr>
              <w:t>3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sz w:val="28"/>
              </w:rPr>
            </w:pPr>
            <w:r w:rsidRPr="008F077A">
              <w:rPr>
                <w:b/>
                <w:sz w:val="28"/>
              </w:rPr>
              <w:t>4</w:t>
            </w:r>
          </w:p>
        </w:tc>
      </w:tr>
      <w:tr w:rsidR="008F077A" w:rsidRPr="008F077A" w:rsidTr="00595C41">
        <w:tc>
          <w:tcPr>
            <w:tcW w:w="3822" w:type="dxa"/>
          </w:tcPr>
          <w:p w:rsidR="008F077A" w:rsidRPr="008F077A" w:rsidRDefault="008F077A" w:rsidP="008F077A">
            <w:r w:rsidRPr="008F077A">
              <w:t xml:space="preserve">Uso appropriato </w:t>
            </w:r>
            <w:proofErr w:type="gramStart"/>
            <w:r w:rsidRPr="008F077A">
              <w:t>del  lessico</w:t>
            </w:r>
            <w:proofErr w:type="gramEnd"/>
            <w:r w:rsidRPr="008F077A">
              <w:t xml:space="preserve"> e delle categorie interpretative proprie della disciplina; valutazione delle diverse fonti; visione della storia come a una dimensione significativa per la comprensione, attraverso la discussione critica e il confronto fra una varietà di prospettive e interpretazioni, delle radici del presente.</w:t>
            </w:r>
          </w:p>
        </w:tc>
        <w:tc>
          <w:tcPr>
            <w:tcW w:w="2660" w:type="dxa"/>
            <w:gridSpan w:val="2"/>
          </w:tcPr>
          <w:p w:rsidR="008F077A" w:rsidRPr="008F077A" w:rsidRDefault="008F077A" w:rsidP="008F077A">
            <w:r w:rsidRPr="008F077A">
              <w:t xml:space="preserve">Lo studente si avvale del lessico basilare della disciplina, espone i temi trattati in modo </w:t>
            </w:r>
            <w:proofErr w:type="gramStart"/>
            <w:r w:rsidRPr="008F077A">
              <w:t>semplice,  si</w:t>
            </w:r>
            <w:proofErr w:type="gramEnd"/>
            <w:r w:rsidRPr="008F077A">
              <w:t xml:space="preserve"> orienta sui concetti generali della disciplina</w:t>
            </w:r>
          </w:p>
        </w:tc>
        <w:tc>
          <w:tcPr>
            <w:tcW w:w="2777" w:type="dxa"/>
          </w:tcPr>
          <w:p w:rsidR="008F077A" w:rsidRPr="008F077A" w:rsidRDefault="008F077A" w:rsidP="008F077A">
            <w:r w:rsidRPr="008F077A">
              <w:t>Lo studente usa adeguatamente il lessico di base della disciplina, espone i temi trattati in modo articolato, si orienta sui concetti generali della disciplina e ne coglie le relazioni di base</w:t>
            </w:r>
          </w:p>
        </w:tc>
        <w:tc>
          <w:tcPr>
            <w:tcW w:w="3215" w:type="dxa"/>
            <w:gridSpan w:val="2"/>
          </w:tcPr>
          <w:p w:rsidR="008F077A" w:rsidRPr="008F077A" w:rsidRDefault="008F077A" w:rsidP="008F077A">
            <w:r w:rsidRPr="008F077A">
              <w:t>Avvalendosi del lessico di base della disciplina, lo studente rielabora ed espone i temi trattati in modo articolato e attento alle loro relazioni, coglie in maniera adeguata gli elementi di affinità-continuità e diversità-discontinuità fra civiltà diverse, si orienta con sicurezza sui concetti generali della disciplina</w:t>
            </w:r>
          </w:p>
        </w:tc>
        <w:tc>
          <w:tcPr>
            <w:tcW w:w="3215" w:type="dxa"/>
          </w:tcPr>
          <w:p w:rsidR="008F077A" w:rsidRPr="008F077A" w:rsidRDefault="008F077A" w:rsidP="008F077A">
            <w:r w:rsidRPr="008F077A">
              <w:t>Avvalendosi del lessico di base della disciplina, lo studente rielabora ed espone i temi trattati in modo articolato, consapevole e attento alle loro relazioni, coglie in maniera completa gli elementi di affinità-continuità e diversità-discontinuità fra civiltà diverse, si orienta con sicurezza sui concetti generali relativi alle istituzioni statali, ai sistemi politici e giuridici, ai tipi di società, alla produzione artistica e culturale</w:t>
            </w:r>
          </w:p>
        </w:tc>
      </w:tr>
      <w:tr w:rsidR="008F077A" w:rsidRPr="008F077A" w:rsidTr="00595C41">
        <w:tc>
          <w:tcPr>
            <w:tcW w:w="3822" w:type="dxa"/>
          </w:tcPr>
          <w:p w:rsidR="008F077A" w:rsidRPr="008F077A" w:rsidRDefault="008F077A" w:rsidP="008F077A">
            <w:r w:rsidRPr="008F077A">
              <w:t>Valutazione della dimensione temporale di ogni evento e capacità di collocarlo nella giusta successione cronologica, visione della storia come lo svolgimento di eventi correlati fra loro secondo il tempo.</w:t>
            </w:r>
          </w:p>
          <w:p w:rsidR="008F077A" w:rsidRPr="008F077A" w:rsidRDefault="008F077A" w:rsidP="008F077A"/>
          <w:p w:rsidR="008F077A" w:rsidRPr="008F077A" w:rsidRDefault="008F077A" w:rsidP="008F077A"/>
          <w:p w:rsidR="008F077A" w:rsidRPr="008F077A" w:rsidRDefault="008F077A" w:rsidP="008F077A"/>
        </w:tc>
        <w:tc>
          <w:tcPr>
            <w:tcW w:w="2660" w:type="dxa"/>
            <w:gridSpan w:val="2"/>
          </w:tcPr>
          <w:p w:rsidR="008F077A" w:rsidRPr="008F077A" w:rsidRDefault="008F077A" w:rsidP="008F077A">
            <w:r w:rsidRPr="008F077A">
              <w:t>Lo studente è capace di collocare gli eventi principali nella giusta successione cronologica</w:t>
            </w:r>
          </w:p>
        </w:tc>
        <w:tc>
          <w:tcPr>
            <w:tcW w:w="2777" w:type="dxa"/>
          </w:tcPr>
          <w:p w:rsidR="008F077A" w:rsidRPr="008F077A" w:rsidRDefault="008F077A" w:rsidP="008F077A">
            <w:pPr>
              <w:rPr>
                <w:i/>
              </w:rPr>
            </w:pPr>
            <w:r w:rsidRPr="008F077A">
              <w:t xml:space="preserve">Lo studente è capace di collocare gli </w:t>
            </w:r>
            <w:proofErr w:type="gramStart"/>
            <w:r w:rsidRPr="008F077A">
              <w:t>eventi  nella</w:t>
            </w:r>
            <w:proofErr w:type="gramEnd"/>
            <w:r w:rsidRPr="008F077A">
              <w:t xml:space="preserve"> giusta successione cronologica cogliendone relazioni significative</w:t>
            </w:r>
          </w:p>
        </w:tc>
        <w:tc>
          <w:tcPr>
            <w:tcW w:w="3215" w:type="dxa"/>
            <w:gridSpan w:val="2"/>
          </w:tcPr>
          <w:p w:rsidR="008F077A" w:rsidRPr="008F077A" w:rsidRDefault="008F077A" w:rsidP="008F077A">
            <w:pPr>
              <w:rPr>
                <w:i/>
              </w:rPr>
            </w:pPr>
            <w:r w:rsidRPr="008F077A">
              <w:t xml:space="preserve">Lo studente è capace di collocare gli </w:t>
            </w:r>
            <w:proofErr w:type="gramStart"/>
            <w:r w:rsidRPr="008F077A">
              <w:t>eventi  studiati</w:t>
            </w:r>
            <w:proofErr w:type="gramEnd"/>
            <w:r w:rsidRPr="008F077A">
              <w:t xml:space="preserve"> in una visione della storia come svolgimento di eventi correlati cogliendone relazioni significative</w:t>
            </w:r>
          </w:p>
        </w:tc>
        <w:tc>
          <w:tcPr>
            <w:tcW w:w="3215" w:type="dxa"/>
          </w:tcPr>
          <w:p w:rsidR="008F077A" w:rsidRPr="008F077A" w:rsidRDefault="008F077A" w:rsidP="008F077A">
            <w:r w:rsidRPr="008F077A">
              <w:t xml:space="preserve">Lo studente è capace di collocare gli </w:t>
            </w:r>
            <w:proofErr w:type="gramStart"/>
            <w:r w:rsidRPr="008F077A">
              <w:t>eventi  studiati</w:t>
            </w:r>
            <w:proofErr w:type="gramEnd"/>
            <w:r w:rsidRPr="008F077A">
              <w:t xml:space="preserve"> in una visione della storia come svolgimento di eventi correlati interpretandone adeguatamente le diverse relazioni sul piano cronologico</w:t>
            </w:r>
          </w:p>
        </w:tc>
      </w:tr>
    </w:tbl>
    <w:p w:rsidR="008F077A" w:rsidRPr="008F077A" w:rsidRDefault="008F077A" w:rsidP="008F077A"/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p w:rsidR="00AF44A3" w:rsidRDefault="00AF44A3"/>
    <w:sectPr w:rsidR="00AF44A3" w:rsidSect="00A6065A"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71E" w:rsidRDefault="00B0614B">
      <w:pPr>
        <w:spacing w:after="0" w:line="240" w:lineRule="auto"/>
      </w:pPr>
      <w:r>
        <w:separator/>
      </w:r>
    </w:p>
  </w:endnote>
  <w:endnote w:type="continuationSeparator" w:id="0">
    <w:p w:rsidR="006E671E" w:rsidRDefault="00B06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71E" w:rsidRDefault="00B0614B">
      <w:pPr>
        <w:spacing w:after="0" w:line="240" w:lineRule="auto"/>
      </w:pPr>
      <w:r>
        <w:separator/>
      </w:r>
    </w:p>
  </w:footnote>
  <w:footnote w:type="continuationSeparator" w:id="0">
    <w:p w:rsidR="006E671E" w:rsidRDefault="00B06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96" w:rsidRDefault="00B0614B" w:rsidP="00977BAC">
    <w:pPr>
      <w:pStyle w:val="Normale1"/>
      <w:spacing w:before="708" w:after="0" w:line="240" w:lineRule="auto"/>
      <w:jc w:val="center"/>
    </w:pPr>
    <w:r>
      <w:rPr>
        <w:rFonts w:ascii="Arial" w:eastAsia="Arial" w:hAnsi="Arial" w:cs="Arial"/>
        <w:b/>
        <w:sz w:val="28"/>
        <w:szCs w:val="28"/>
      </w:rPr>
      <w:t>Istituto Istruzione Secondaria "</w:t>
    </w:r>
    <w:r>
      <w:rPr>
        <w:rFonts w:ascii="Arial" w:eastAsia="Arial" w:hAnsi="Arial" w:cs="Arial"/>
        <w:b/>
        <w:i/>
        <w:sz w:val="28"/>
        <w:szCs w:val="28"/>
      </w:rPr>
      <w:t>Luigi Costanzo</w:t>
    </w:r>
    <w:r>
      <w:rPr>
        <w:rFonts w:ascii="Arial" w:eastAsia="Arial" w:hAnsi="Arial" w:cs="Arial"/>
        <w:b/>
        <w:sz w:val="28"/>
        <w:szCs w:val="28"/>
      </w:rPr>
      <w:t>" - Decollatura (</w:t>
    </w:r>
    <w:proofErr w:type="spellStart"/>
    <w:r>
      <w:rPr>
        <w:rFonts w:ascii="Arial" w:eastAsia="Arial" w:hAnsi="Arial" w:cs="Arial"/>
        <w:b/>
        <w:sz w:val="28"/>
        <w:szCs w:val="28"/>
      </w:rPr>
      <w:t>Cz</w:t>
    </w:r>
    <w:proofErr w:type="spellEnd"/>
    <w:r>
      <w:rPr>
        <w:rFonts w:ascii="Arial" w:eastAsia="Arial" w:hAnsi="Arial" w:cs="Arial"/>
        <w:b/>
        <w:sz w:val="28"/>
        <w:szCs w:val="28"/>
      </w:rPr>
      <w:t>)</w:t>
    </w:r>
  </w:p>
  <w:p w:rsidR="00CE6B96" w:rsidRDefault="00B0614B" w:rsidP="00977BAC">
    <w:pPr>
      <w:pStyle w:val="Normale1"/>
      <w:spacing w:after="0" w:line="240" w:lineRule="auto"/>
      <w:jc w:val="center"/>
    </w:pPr>
    <w:r>
      <w:rPr>
        <w:rFonts w:ascii="Arial" w:eastAsia="Arial" w:hAnsi="Arial" w:cs="Arial"/>
        <w:b/>
        <w:sz w:val="28"/>
        <w:szCs w:val="28"/>
      </w:rPr>
      <w:t>LICEO SCIENTIFICO</w:t>
    </w:r>
  </w:p>
  <w:p w:rsidR="00CE6B96" w:rsidRDefault="003E0E1B">
    <w:pPr>
      <w:pStyle w:val="Intestazione"/>
    </w:pPr>
  </w:p>
  <w:p w:rsidR="00CE6B96" w:rsidRDefault="003E0E1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2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OpenSymbol"/>
      </w:rPr>
    </w:lvl>
  </w:abstractNum>
  <w:abstractNum w:abstractNumId="1" w15:restartNumberingAfterBreak="0">
    <w:nsid w:val="0EB035F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3FC601D"/>
    <w:multiLevelType w:val="hybridMultilevel"/>
    <w:tmpl w:val="C7A2279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D097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273E3"/>
    <w:multiLevelType w:val="hybridMultilevel"/>
    <w:tmpl w:val="4D78501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6779A"/>
    <w:multiLevelType w:val="hybridMultilevel"/>
    <w:tmpl w:val="019614F4"/>
    <w:lvl w:ilvl="0" w:tplc="89FE62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F58CC"/>
    <w:multiLevelType w:val="hybridMultilevel"/>
    <w:tmpl w:val="5EBA6F0E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16644228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DE3E42"/>
    <w:multiLevelType w:val="hybridMultilevel"/>
    <w:tmpl w:val="70669424"/>
    <w:lvl w:ilvl="0" w:tplc="0BDEAE9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034F27"/>
    <w:multiLevelType w:val="hybridMultilevel"/>
    <w:tmpl w:val="C5AE5F70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00141"/>
    <w:multiLevelType w:val="hybridMultilevel"/>
    <w:tmpl w:val="8194A0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C063B"/>
    <w:multiLevelType w:val="hybridMultilevel"/>
    <w:tmpl w:val="130E5AA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BDEAE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C71763"/>
    <w:multiLevelType w:val="hybridMultilevel"/>
    <w:tmpl w:val="B35A22DA"/>
    <w:lvl w:ilvl="0" w:tplc="F4E21696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0403F7"/>
    <w:multiLevelType w:val="hybridMultilevel"/>
    <w:tmpl w:val="89E0F1D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084B71"/>
    <w:multiLevelType w:val="hybridMultilevel"/>
    <w:tmpl w:val="041CE4EC"/>
    <w:lvl w:ilvl="0" w:tplc="0BDEAE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82A46"/>
    <w:multiLevelType w:val="hybridMultilevel"/>
    <w:tmpl w:val="E07A3094"/>
    <w:lvl w:ilvl="0" w:tplc="0BDEAE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86084"/>
    <w:multiLevelType w:val="hybridMultilevel"/>
    <w:tmpl w:val="DF30B9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3"/>
  </w:num>
  <w:num w:numId="7">
    <w:abstractNumId w:val="4"/>
  </w:num>
  <w:num w:numId="8">
    <w:abstractNumId w:val="12"/>
  </w:num>
  <w:num w:numId="9">
    <w:abstractNumId w:val="7"/>
  </w:num>
  <w:num w:numId="10">
    <w:abstractNumId w:val="14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45"/>
    <w:rsid w:val="00273D33"/>
    <w:rsid w:val="003E0E1B"/>
    <w:rsid w:val="003F3445"/>
    <w:rsid w:val="00627709"/>
    <w:rsid w:val="006E671E"/>
    <w:rsid w:val="008F077A"/>
    <w:rsid w:val="00AF44A3"/>
    <w:rsid w:val="00B0614B"/>
    <w:rsid w:val="00CD1E00"/>
    <w:rsid w:val="00FE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66E0FEC4-00D9-41D3-B818-A06827D9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27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27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7709"/>
  </w:style>
  <w:style w:type="paragraph" w:customStyle="1" w:styleId="Normale1">
    <w:name w:val="Normale1"/>
    <w:rsid w:val="00627709"/>
    <w:pPr>
      <w:spacing w:after="200" w:line="276" w:lineRule="auto"/>
    </w:pPr>
    <w:rPr>
      <w:rFonts w:ascii="Calibri" w:eastAsia="Calibri" w:hAnsi="Calibri" w:cs="Calibri"/>
      <w:color w:val="000000"/>
      <w:lang w:eastAsia="it-IT"/>
    </w:rPr>
  </w:style>
  <w:style w:type="table" w:customStyle="1" w:styleId="Grigliatabella1">
    <w:name w:val="Griglia tabella1"/>
    <w:basedOn w:val="Tabellanormale"/>
    <w:uiPriority w:val="39"/>
    <w:rsid w:val="008F0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8F0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2263</Words>
  <Characters>12902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2017-01-24T16:41:00Z</dcterms:created>
  <dcterms:modified xsi:type="dcterms:W3CDTF">2017-01-24T16:41:00Z</dcterms:modified>
</cp:coreProperties>
</file>